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631C33" w:rsidRDefault="00B23F49" w:rsidP="004F179A">
            <w:pPr>
              <w:pStyle w:val="LicenseNumber"/>
              <w:spacing w:before="120" w:after="120"/>
              <w:rPr>
                <w:rStyle w:val="LogoportMarkup"/>
                <w:rFonts w:ascii="Tahoma" w:hAnsi="Tahoma" w:cs="Tahoma"/>
                <w:color w:val="000000"/>
              </w:rPr>
            </w:pPr>
            <w:r w:rsidRPr="00631C33">
              <w:rPr>
                <w:rFonts w:cs="Tahoma"/>
                <w:color w:val="000000"/>
                <w:sz w:val="24"/>
                <w:szCs w:val="24"/>
              </w:rPr>
              <w:t xml:space="preserve">Geräte-Client-Zugriffslizenzen: </w:t>
            </w:r>
            <w:r w:rsidRPr="00631C33">
              <w:rPr>
                <w:rFonts w:cs="Tahoma"/>
                <w:color w:val="000000"/>
                <w:sz w:val="24"/>
                <w:szCs w:val="24"/>
                <w:u w:val="single"/>
              </w:rPr>
              <w:fldChar w:fldCharType="begin">
                <w:ffData>
                  <w:name w:val="Text33"/>
                  <w:enabled/>
                  <w:calcOnExit w:val="0"/>
                  <w:textInput/>
                </w:ffData>
              </w:fldChar>
            </w:r>
            <w:r w:rsidRPr="00631C33">
              <w:rPr>
                <w:rFonts w:cs="Tahoma"/>
                <w:color w:val="000000"/>
                <w:sz w:val="24"/>
                <w:szCs w:val="24"/>
                <w:u w:val="single"/>
                <w:lang w:val="fr-FR"/>
              </w:rPr>
              <w:instrText xml:space="preserve"> FORMTEXT </w:instrText>
            </w:r>
            <w:r w:rsidRPr="00631C33">
              <w:rPr>
                <w:rFonts w:cs="Tahoma"/>
                <w:color w:val="000000"/>
                <w:sz w:val="24"/>
                <w:szCs w:val="24"/>
                <w:u w:val="single"/>
              </w:rPr>
            </w:r>
            <w:r w:rsidRPr="00631C33">
              <w:rPr>
                <w:rFonts w:cs="Tahoma"/>
                <w:color w:val="000000"/>
                <w:sz w:val="24"/>
                <w:szCs w:val="24"/>
                <w:u w:val="single"/>
              </w:rPr>
              <w:fldChar w:fldCharType="separate"/>
            </w:r>
            <w:r w:rsidRPr="00631C33">
              <w:rPr>
                <w:rFonts w:cs="Tahoma"/>
                <w:noProof/>
                <w:color w:val="000000"/>
                <w:sz w:val="24"/>
                <w:szCs w:val="24"/>
                <w:u w:val="single"/>
              </w:rPr>
              <w:t> </w:t>
            </w:r>
            <w:r w:rsidRPr="00631C33">
              <w:rPr>
                <w:rFonts w:cs="Tahoma"/>
                <w:noProof/>
                <w:color w:val="000000"/>
                <w:sz w:val="24"/>
                <w:szCs w:val="24"/>
                <w:u w:val="single"/>
              </w:rPr>
              <w:t> </w:t>
            </w:r>
            <w:r w:rsidRPr="00631C33">
              <w:rPr>
                <w:rFonts w:cs="Tahoma"/>
                <w:noProof/>
                <w:color w:val="000000"/>
                <w:sz w:val="24"/>
                <w:szCs w:val="24"/>
                <w:u w:val="single"/>
              </w:rPr>
              <w:t> </w:t>
            </w:r>
            <w:r w:rsidRPr="00631C33">
              <w:rPr>
                <w:rFonts w:cs="Tahoma"/>
                <w:noProof/>
                <w:color w:val="000000"/>
                <w:sz w:val="24"/>
                <w:szCs w:val="24"/>
                <w:u w:val="single"/>
              </w:rPr>
              <w:t> </w:t>
            </w:r>
            <w:r w:rsidRPr="00631C33">
              <w:rPr>
                <w:rFonts w:cs="Tahoma"/>
                <w:noProof/>
                <w:color w:val="000000"/>
                <w:sz w:val="24"/>
                <w:szCs w:val="24"/>
                <w:u w:val="single"/>
              </w:rPr>
              <w:t> </w:t>
            </w:r>
            <w:r w:rsidRPr="00631C33">
              <w:rPr>
                <w:rFonts w:cs="Tahoma"/>
                <w:color w:val="000000"/>
              </w:rPr>
              <w:fldChar w:fldCharType="end"/>
            </w:r>
            <w:r w:rsidR="004F179A" w:rsidRPr="00631C33">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 xml:space="preserve">Bevor Sie eine Instanz der Serversoftware unter einer Softwarelizenz ausführen, müssen Sie diese Lizenz einem Ihrer Server zuweisen. Dieser Server ist der lizenzierte Server für die </w:t>
      </w:r>
      <w:r>
        <w:rPr>
          <w:sz w:val="20"/>
          <w:szCs w:val="20"/>
        </w:rPr>
        <w:lastRenderedPageBreak/>
        <w:t>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lastRenderedPageBreak/>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77777777"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31C33">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31C33">
            <w:rPr>
              <w:rFonts w:cs="Times New Roman"/>
              <w:noProof/>
              <w:sz w:val="18"/>
              <w:szCs w:val="18"/>
            </w:rPr>
            <w:t>3</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Y7f15SurETJ+vFyXqt0peW7UaRSLAPHvDiNloFRKURBZ26jBOjfruyCebhzZf+nqB0w+AFw6f3EATw5NpH8pSg==" w:salt="4GPoQp8VE7uBK8BUYnDxF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31C33"/>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47FF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05CCB"/>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2016-05-27T07:21:00Z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